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5F" w:rsidRDefault="00FF335F" w:rsidP="00FF335F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FF335F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 xml:space="preserve">Консультация для родителей </w:t>
      </w:r>
    </w:p>
    <w:p w:rsidR="00FF335F" w:rsidRPr="00FF335F" w:rsidRDefault="00FF335F" w:rsidP="00FF335F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FF335F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«Влияние родительских установок на развитие детей»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взаимоопределяющих</w:t>
      </w:r>
      <w:proofErr w:type="spell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составных: осознаваемое и несознаваемое - сознание и подсознание.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сказала….</w:t>
      </w:r>
      <w:proofErr w:type="gram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", "Папа велел…" и т.д.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proofErr w:type="gram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благоприятный  для</w:t>
      </w:r>
      <w:proofErr w:type="gram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  </w:t>
      </w: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gram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установки</w:t>
      </w:r>
      <w:proofErr w:type="gram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FF335F" w:rsidRPr="00FF335F" w:rsidRDefault="00FF335F" w:rsidP="00FF335F">
      <w:pPr>
        <w:shd w:val="clear" w:color="auto" w:fill="FFFFFF"/>
        <w:spacing w:after="12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5232" w:type="pct"/>
        <w:tblInd w:w="-4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4110"/>
        <w:gridCol w:w="2683"/>
      </w:tblGrid>
      <w:tr w:rsidR="00FF335F" w:rsidRPr="00FF335F" w:rsidTr="00FF335F">
        <w:tc>
          <w:tcPr>
            <w:tcW w:w="3627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"Будь собой, у </w:t>
            </w:r>
            <w:proofErr w:type="gramStart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каждого  в</w:t>
            </w:r>
            <w:proofErr w:type="gramEnd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жизни будут друзья!".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Сдерживание эмоций, внутренняя озлобленность, тревожность, глубокое переживание даже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незначительных проблем, страхи, повышенное эмоциональное напряжение.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"Поплачь, будет легче…".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ряха, грязнуля!".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Противная девчонка, все они капризули!" (мальчику о девочке). "Негодник, все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мальчики забияки и драчуны!" (девочке о мальчике).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 xml:space="preserve">Нарушения в </w:t>
            </w:r>
            <w:proofErr w:type="spellStart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сексуальном развитии, осложнения </w:t>
            </w:r>
            <w:proofErr w:type="gramStart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 меж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половом общении, трудности в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выборе друга противоположного пола.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"Все люди равны, но в то же время ни один не похож на другого".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eastAsia="ru-RU"/>
              </w:rPr>
              <w:t>"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proofErr w:type="gramStart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несчастным  случаям</w:t>
            </w:r>
            <w:proofErr w:type="gramEnd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 подозрительность, пессимизм.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ол</w:t>
            </w:r>
            <w:proofErr w:type="spellEnd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"Давай немного оставим папе (маме) </w:t>
            </w:r>
            <w:proofErr w:type="spellStart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т.д</w:t>
            </w:r>
            <w:proofErr w:type="spellEnd"/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."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Трудности в общении, подозрительность, завышенная самооценка, страхи, проблемы свер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х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контроля, ощущение одиночества и тревоги.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Робость, страхи, неуверенность в себе, безынициативность, боязнь старших, несамостоятельность, </w:t>
            </w: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нерешительность, зависимость от чужого мнения, тревожность.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lastRenderedPageBreak/>
              <w:t>"Смелее, ты всё можешь сам!".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FF335F" w:rsidRPr="00FF335F" w:rsidTr="00FF335F">
        <w:tc>
          <w:tcPr>
            <w:tcW w:w="152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210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3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35F" w:rsidRPr="00FF335F" w:rsidRDefault="00FF335F" w:rsidP="00FF33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FF335F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занят(а)…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</w:t>
      </w:r>
      <w:proofErr w:type="gramEnd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неправильно!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FF335F" w:rsidRPr="00FF335F" w:rsidRDefault="00FF335F" w:rsidP="00FF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уверен в себе.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А эти слова ласкают душу ребёнка: 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 случилось, наш дом - наша крепость.</w:t>
      </w:r>
    </w:p>
    <w:p w:rsidR="00FF335F" w:rsidRPr="00FF335F" w:rsidRDefault="00FF335F" w:rsidP="00FF3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FF335F" w:rsidRPr="00FF335F" w:rsidRDefault="00FF335F" w:rsidP="00FF335F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</w:t>
      </w:r>
      <w:bookmarkStart w:id="0" w:name="_GoBack"/>
      <w:bookmarkEnd w:id="0"/>
      <w:r w:rsidRPr="00FF335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D10B23" w:rsidRPr="00FF335F" w:rsidRDefault="00D10B23" w:rsidP="00FF33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B23" w:rsidRPr="00FF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A0E32"/>
    <w:multiLevelType w:val="multilevel"/>
    <w:tmpl w:val="933E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403E5"/>
    <w:multiLevelType w:val="multilevel"/>
    <w:tmpl w:val="2FA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6B"/>
    <w:rsid w:val="0072156B"/>
    <w:rsid w:val="00D10B23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69B7-C59E-4D8A-A723-F7485FBE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2033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84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000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3</cp:revision>
  <dcterms:created xsi:type="dcterms:W3CDTF">2017-10-10T07:23:00Z</dcterms:created>
  <dcterms:modified xsi:type="dcterms:W3CDTF">2017-10-10T07:28:00Z</dcterms:modified>
</cp:coreProperties>
</file>